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Walter Blane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Solana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HSDT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SOLANA COMPANY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1650 MARKET STREET, SUITE 3600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6,360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18,564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80" w:firstLine="2"/>
        <w:spacing w:after="0" w:line="29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Grant to the Reporting Person of restricted stock units ("RSUs") under the Issuer's 2022 Equity Incentive Plan (the "Plan"). The RSUs vest in a series of twelve (12) successive equal monthly installments on the last day of each month so that all of the RSUs will be fully vested on the one-year anniversary of the grant date, subject to the Reporting Person's continued service through each applicable vesting period.</w:t>
      </w: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to the Reporting Person of a stock option under the Plan. The options vest in a series of twelve (12) successive equal monthly installments on the last day of each month so that all of the options will be fully vested on the one-year anniversary of the grant date, subject to the Reporting Person's continued service through each applicable vesting period.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Agustina Gani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744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Tjandrasuwita,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0555" TargetMode="External"/><Relationship Id="rId14" Type="http://schemas.openxmlformats.org/officeDocument/2006/relationships/hyperlink" Target="http://www.sec.gov/cgi-bin/browse-edgar?action=getcompany&amp;CIK=00016108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2026-05-26T18:31:05Z</dcterms:created>
  <dcterms:modified xsi:type="dcterms:W3CDTF">2026-05-26T18:31:05Z</dcterms:modified>
</cp:coreProperties>
</file>